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ED366" w14:textId="6209B94D" w:rsidR="00B76474" w:rsidRPr="008A448A" w:rsidRDefault="00B76474" w:rsidP="00A956B4">
      <w:pPr>
        <w:jc w:val="center"/>
        <w:rPr>
          <w:rFonts w:ascii="Times New Roman" w:hAnsi="Times New Roman" w:cs="Times New Roman"/>
          <w:b/>
          <w:bCs/>
        </w:rPr>
      </w:pPr>
      <w:r w:rsidRPr="008A448A">
        <w:rPr>
          <w:rFonts w:ascii="Times New Roman" w:hAnsi="Times New Roman" w:cs="Times New Roman"/>
          <w:b/>
          <w:bCs/>
        </w:rPr>
        <w:t xml:space="preserve">Beyond Subsidies: Why Rural Broadband Grants </w:t>
      </w:r>
      <w:r w:rsidR="00D73438" w:rsidRPr="008A448A">
        <w:rPr>
          <w:rFonts w:ascii="Times New Roman" w:hAnsi="Times New Roman" w:cs="Times New Roman"/>
          <w:b/>
          <w:bCs/>
        </w:rPr>
        <w:t>Can Better</w:t>
      </w:r>
      <w:r w:rsidRPr="008A448A">
        <w:rPr>
          <w:rFonts w:ascii="Times New Roman" w:hAnsi="Times New Roman" w:cs="Times New Roman"/>
          <w:b/>
          <w:bCs/>
        </w:rPr>
        <w:t xml:space="preserve"> Sustain Small Farms</w:t>
      </w:r>
    </w:p>
    <w:p w14:paraId="1E859744" w14:textId="7A325155" w:rsidR="00B76474" w:rsidRPr="00D73438" w:rsidRDefault="00B76474">
      <w:pPr>
        <w:rPr>
          <w:rFonts w:ascii="Times New Roman" w:hAnsi="Times New Roman" w:cs="Times New Roman"/>
          <w:b/>
          <w:bCs/>
        </w:rPr>
      </w:pPr>
      <w:r w:rsidRPr="00D73438">
        <w:rPr>
          <w:rFonts w:ascii="Times New Roman" w:hAnsi="Times New Roman" w:cs="Times New Roman"/>
          <w:b/>
          <w:bCs/>
        </w:rPr>
        <w:t>Introduction</w:t>
      </w:r>
    </w:p>
    <w:p w14:paraId="1FED2AB8" w14:textId="4630F9F2" w:rsidR="00DE2F2D" w:rsidRDefault="00CD17DD" w:rsidP="00DE2F2D">
      <w:pPr>
        <w:rPr>
          <w:rFonts w:ascii="Times New Roman" w:hAnsi="Times New Roman" w:cs="Times New Roman"/>
        </w:rPr>
      </w:pPr>
      <w:r>
        <w:rPr>
          <w:rFonts w:ascii="Times New Roman" w:hAnsi="Times New Roman" w:cs="Times New Roman"/>
        </w:rPr>
        <w:t xml:space="preserve">Small farms represent 86% of U.S. agriculture, yet nearly half report negative farm income [1, 2]. Off-farm income is crucial for the survival of small farms. Federal agricultural policy, including </w:t>
      </w:r>
      <w:r w:rsidR="00A5358E">
        <w:rPr>
          <w:rFonts w:ascii="Times New Roman" w:hAnsi="Times New Roman" w:cs="Times New Roman"/>
        </w:rPr>
        <w:t>commodity programs, crop insurance premium subsidies, and disaster payments</w:t>
      </w:r>
      <w:r>
        <w:rPr>
          <w:rFonts w:ascii="Times New Roman" w:hAnsi="Times New Roman" w:cs="Times New Roman"/>
        </w:rPr>
        <w:t>, has traditionally focused on direct farm income</w:t>
      </w:r>
      <w:r w:rsidR="00A5358E">
        <w:rPr>
          <w:rFonts w:ascii="Times New Roman" w:hAnsi="Times New Roman" w:cs="Times New Roman"/>
        </w:rPr>
        <w:t>, which refers to payments that supplement or stabilize revenue from production, rather than expanding off-farm earning opportunities.</w:t>
      </w:r>
      <w:r>
        <w:rPr>
          <w:rFonts w:ascii="Times New Roman" w:hAnsi="Times New Roman" w:cs="Times New Roman"/>
        </w:rPr>
        <w:t xml:space="preserve"> In contrast, newer policy strategies </w:t>
      </w:r>
      <w:r w:rsidR="00840F93">
        <w:rPr>
          <w:rFonts w:ascii="Times New Roman" w:hAnsi="Times New Roman" w:cs="Times New Roman"/>
        </w:rPr>
        <w:t>emphasize</w:t>
      </w:r>
      <w:r>
        <w:rPr>
          <w:rFonts w:ascii="Times New Roman" w:hAnsi="Times New Roman" w:cs="Times New Roman"/>
        </w:rPr>
        <w:t xml:space="preserve"> broadband expansion </w:t>
      </w:r>
      <w:r w:rsidR="00840F93">
        <w:rPr>
          <w:rFonts w:ascii="Times New Roman" w:hAnsi="Times New Roman" w:cs="Times New Roman"/>
        </w:rPr>
        <w:t>to</w:t>
      </w:r>
      <w:r>
        <w:rPr>
          <w:rFonts w:ascii="Times New Roman" w:hAnsi="Times New Roman" w:cs="Times New Roman"/>
        </w:rPr>
        <w:t xml:space="preserve"> sustain small farm households. </w:t>
      </w:r>
      <w:r w:rsidR="00840F93">
        <w:rPr>
          <w:rFonts w:ascii="Times New Roman" w:hAnsi="Times New Roman" w:cs="Times New Roman"/>
        </w:rPr>
        <w:t>In 2017,</w:t>
      </w:r>
      <w:r>
        <w:rPr>
          <w:rFonts w:ascii="Times New Roman" w:hAnsi="Times New Roman" w:cs="Times New Roman"/>
        </w:rPr>
        <w:t xml:space="preserve"> 56% of principal farm operators held off-farm jobs, making rural broadband essential for both farming operations and off-farm employment [1]. </w:t>
      </w:r>
      <w:r w:rsidR="00706FDC">
        <w:rPr>
          <w:rFonts w:ascii="Times New Roman" w:hAnsi="Times New Roman" w:cs="Times New Roman"/>
        </w:rPr>
        <w:t xml:space="preserve">In this brief, rural broadband expansion is compared with </w:t>
      </w:r>
      <w:r w:rsidR="00A146DB">
        <w:rPr>
          <w:rFonts w:ascii="Times New Roman" w:hAnsi="Times New Roman" w:cs="Times New Roman"/>
        </w:rPr>
        <w:t xml:space="preserve">the farm safety net </w:t>
      </w:r>
      <w:r w:rsidR="00706FDC">
        <w:rPr>
          <w:rFonts w:ascii="Times New Roman" w:hAnsi="Times New Roman" w:cs="Times New Roman"/>
        </w:rPr>
        <w:t>using the criteria of effectiveness and efficiency to assess which policy better supports small farm viability.</w:t>
      </w:r>
    </w:p>
    <w:p w14:paraId="14D12FBD" w14:textId="4BF24896" w:rsidR="00B76474" w:rsidRDefault="00B76474" w:rsidP="001B1468">
      <w:pPr>
        <w:rPr>
          <w:rFonts w:ascii="Times New Roman" w:hAnsi="Times New Roman" w:cs="Times New Roman"/>
          <w:b/>
          <w:bCs/>
        </w:rPr>
      </w:pPr>
      <w:r w:rsidRPr="00D73438">
        <w:rPr>
          <w:rFonts w:ascii="Times New Roman" w:hAnsi="Times New Roman" w:cs="Times New Roman"/>
          <w:b/>
          <w:bCs/>
        </w:rPr>
        <w:t>Rationale</w:t>
      </w:r>
    </w:p>
    <w:p w14:paraId="6F64A80E" w14:textId="40C1B5C9" w:rsidR="001B1468" w:rsidRPr="001B1468" w:rsidRDefault="008A448A" w:rsidP="001B1468">
      <w:pPr>
        <w:rPr>
          <w:rFonts w:ascii="Times New Roman" w:hAnsi="Times New Roman" w:cs="Times New Roman"/>
        </w:rPr>
      </w:pPr>
      <w:r>
        <w:rPr>
          <w:rFonts w:ascii="Times New Roman" w:hAnsi="Times New Roman" w:cs="Times New Roman"/>
        </w:rPr>
        <w:t>Rural broadband expansion addresses a market</w:t>
      </w:r>
      <w:r w:rsidR="00A041A4">
        <w:rPr>
          <w:rFonts w:ascii="Times New Roman" w:hAnsi="Times New Roman" w:cs="Times New Roman"/>
        </w:rPr>
        <w:t xml:space="preserve"> failure </w:t>
      </w:r>
      <w:r>
        <w:rPr>
          <w:rFonts w:ascii="Times New Roman" w:hAnsi="Times New Roman" w:cs="Times New Roman"/>
        </w:rPr>
        <w:t>and negative externality:</w:t>
      </w:r>
      <w:r w:rsidR="00A041A4">
        <w:rPr>
          <w:rFonts w:ascii="Times New Roman" w:hAnsi="Times New Roman" w:cs="Times New Roman"/>
        </w:rPr>
        <w:t xml:space="preserve"> providers often underinvest due to high costs and sparse populations, leaving many households unserved.</w:t>
      </w:r>
      <w:r w:rsidR="001B1468">
        <w:rPr>
          <w:rFonts w:ascii="Times New Roman" w:hAnsi="Times New Roman" w:cs="Times New Roman"/>
        </w:rPr>
        <w:t xml:space="preserve"> </w:t>
      </w:r>
      <w:r>
        <w:rPr>
          <w:rFonts w:ascii="Times New Roman" w:hAnsi="Times New Roman" w:cs="Times New Roman"/>
        </w:rPr>
        <w:t>Government intervention helps correct this failure by funding broadband infrastructure to ensure access to an essential service that benefits both farm and non-farm households [6,7].</w:t>
      </w:r>
    </w:p>
    <w:p w14:paraId="6C578501" w14:textId="464D5E18" w:rsidR="00B76474" w:rsidRDefault="00B76474" w:rsidP="00B76474">
      <w:pPr>
        <w:rPr>
          <w:rFonts w:ascii="Times New Roman" w:hAnsi="Times New Roman" w:cs="Times New Roman"/>
          <w:b/>
          <w:bCs/>
        </w:rPr>
      </w:pPr>
      <w:r w:rsidRPr="00D73438">
        <w:rPr>
          <w:rFonts w:ascii="Times New Roman" w:hAnsi="Times New Roman" w:cs="Times New Roman"/>
          <w:b/>
          <w:bCs/>
        </w:rPr>
        <w:t>Explanation</w:t>
      </w:r>
    </w:p>
    <w:p w14:paraId="75CFA0B7" w14:textId="5AB66073" w:rsidR="00A041A4" w:rsidRDefault="009D429F" w:rsidP="00B76474">
      <w:pPr>
        <w:rPr>
          <w:rFonts w:ascii="Times New Roman" w:hAnsi="Times New Roman" w:cs="Times New Roman"/>
        </w:rPr>
      </w:pPr>
      <w:r>
        <w:rPr>
          <w:rFonts w:ascii="Times New Roman" w:hAnsi="Times New Roman" w:cs="Times New Roman"/>
        </w:rPr>
        <w:t xml:space="preserve">Off-farm income is the primary source of earnings for most small farm households and is central to their viability. </w:t>
      </w:r>
      <w:r w:rsidR="00A146DB">
        <w:rPr>
          <w:rFonts w:ascii="Times New Roman" w:hAnsi="Times New Roman" w:cs="Times New Roman"/>
        </w:rPr>
        <w:t>In 2023, more than 90%</w:t>
      </w:r>
      <w:r>
        <w:rPr>
          <w:rFonts w:ascii="Times New Roman" w:hAnsi="Times New Roman" w:cs="Times New Roman"/>
        </w:rPr>
        <w:t xml:space="preserve"> of total farm household income originated from off-farm sources, and more than half of the principal operators held off-farm jobs</w:t>
      </w:r>
      <w:r w:rsidR="00A146DB">
        <w:rPr>
          <w:rFonts w:ascii="Times New Roman" w:hAnsi="Times New Roman" w:cs="Times New Roman"/>
        </w:rPr>
        <w:t>, while many reported a negative median farm income</w:t>
      </w:r>
      <w:r>
        <w:rPr>
          <w:rFonts w:ascii="Times New Roman" w:hAnsi="Times New Roman" w:cs="Times New Roman"/>
        </w:rPr>
        <w:t xml:space="preserve"> [</w:t>
      </w:r>
      <w:r w:rsidR="00A146DB">
        <w:rPr>
          <w:rFonts w:ascii="Times New Roman" w:hAnsi="Times New Roman" w:cs="Times New Roman"/>
        </w:rPr>
        <w:t>2</w:t>
      </w:r>
      <w:r>
        <w:rPr>
          <w:rFonts w:ascii="Times New Roman" w:hAnsi="Times New Roman" w:cs="Times New Roman"/>
        </w:rPr>
        <w:t>]. For small farms (low-sales farms), the earnings from off-farm jobs typically cover household living costs, service farm debt, and fund reinvestment in the operation [2]. Larger farms can rely more on production income alone, which eventually widens income gaps between small and large farms over time [2,4]. Because most small farms depend on income earned from off-farm sources, policies that expand access to off-farm work have a substantial positive impact on small farm viability [1,2].</w:t>
      </w:r>
    </w:p>
    <w:p w14:paraId="5A31E83B" w14:textId="029C5511" w:rsidR="009D429F" w:rsidRDefault="009D429F" w:rsidP="00B76474">
      <w:pPr>
        <w:rPr>
          <w:rFonts w:ascii="Times New Roman" w:hAnsi="Times New Roman" w:cs="Times New Roman"/>
        </w:rPr>
      </w:pPr>
      <w:r>
        <w:rPr>
          <w:rFonts w:ascii="Times New Roman" w:hAnsi="Times New Roman" w:cs="Times New Roman"/>
        </w:rPr>
        <w:t xml:space="preserve">Rural broadband is the key enabler that connects farm households to off-farm labor markets and essential services [6,7]. </w:t>
      </w:r>
      <w:r w:rsidR="004773AD">
        <w:rPr>
          <w:rFonts w:ascii="Times New Roman" w:hAnsi="Times New Roman" w:cs="Times New Roman"/>
        </w:rPr>
        <w:t>Reliable internet supports remote work, letting household members access higher-paying off-farm income markets</w:t>
      </w:r>
      <w:r w:rsidR="008A448A">
        <w:rPr>
          <w:rFonts w:ascii="Times New Roman" w:hAnsi="Times New Roman" w:cs="Times New Roman"/>
        </w:rPr>
        <w:t xml:space="preserve"> that can be scheduled around planting, harvest, and other seasonal farm demands. This flexibility allows families to balance on-farm responsibilities with steady, year-round income sources</w:t>
      </w:r>
      <w:r w:rsidR="004773AD">
        <w:rPr>
          <w:rFonts w:ascii="Times New Roman" w:hAnsi="Times New Roman" w:cs="Times New Roman"/>
        </w:rPr>
        <w:t xml:space="preserve">. Broadband expands access to education and training, such as distance learning and online certifications, that can raise earnings potential. Telehealth improves quality of life and frees time and money for the farm by reducing travel to and from the doctor and travel costs [6,7]. Broadband lowers barriers to starting rural small businesses, which allows for diversified income streams. </w:t>
      </w:r>
      <w:r w:rsidR="0061459F">
        <w:rPr>
          <w:rFonts w:ascii="Times New Roman" w:hAnsi="Times New Roman" w:cs="Times New Roman"/>
        </w:rPr>
        <w:t xml:space="preserve">A 2023 </w:t>
      </w:r>
      <w:r w:rsidR="00C82199">
        <w:rPr>
          <w:rFonts w:ascii="Times New Roman" w:hAnsi="Times New Roman" w:cs="Times New Roman"/>
        </w:rPr>
        <w:t>study on telecommunications policy</w:t>
      </w:r>
      <w:r w:rsidR="0061459F">
        <w:rPr>
          <w:rFonts w:ascii="Times New Roman" w:hAnsi="Times New Roman" w:cs="Times New Roman"/>
        </w:rPr>
        <w:t xml:space="preserve"> found that expanding broadband access significantly increased per-capita economic </w:t>
      </w:r>
      <w:r w:rsidR="0061459F">
        <w:rPr>
          <w:rFonts w:ascii="Times New Roman" w:hAnsi="Times New Roman" w:cs="Times New Roman"/>
        </w:rPr>
        <w:lastRenderedPageBreak/>
        <w:t xml:space="preserve">growth in rural regions. The authors found that high-speed </w:t>
      </w:r>
      <w:r w:rsidR="00C82199">
        <w:rPr>
          <w:rFonts w:ascii="Times New Roman" w:hAnsi="Times New Roman" w:cs="Times New Roman"/>
        </w:rPr>
        <w:t>broadband acts as “general-purpose infrastructure,” driving rural economic development [12].</w:t>
      </w:r>
    </w:p>
    <w:p w14:paraId="3FFCEFC1" w14:textId="7F318C68" w:rsidR="004773AD" w:rsidRPr="00A041A4" w:rsidRDefault="004773AD" w:rsidP="00B76474">
      <w:pPr>
        <w:rPr>
          <w:rFonts w:ascii="Times New Roman" w:hAnsi="Times New Roman" w:cs="Times New Roman"/>
        </w:rPr>
      </w:pPr>
      <w:r>
        <w:rPr>
          <w:rFonts w:ascii="Times New Roman" w:hAnsi="Times New Roman" w:cs="Times New Roman"/>
        </w:rPr>
        <w:t>On the farm, connectivity enables precision agriculture, digital compliance and reporting, and direct marketing, but for small farms</w:t>
      </w:r>
      <w:r w:rsidR="00C82199">
        <w:rPr>
          <w:rFonts w:ascii="Times New Roman" w:hAnsi="Times New Roman" w:cs="Times New Roman"/>
        </w:rPr>
        <w:t>,</w:t>
      </w:r>
      <w:r>
        <w:rPr>
          <w:rFonts w:ascii="Times New Roman" w:hAnsi="Times New Roman" w:cs="Times New Roman"/>
        </w:rPr>
        <w:t xml:space="preserve"> the largest financial impact still comes from supporting off-farm income sources [6,7]. Empirical studies have linked rural internet access to higher household earnings and reduced the income gap often found in rural communities. With </w:t>
      </w:r>
      <w:r w:rsidR="00E2742C">
        <w:rPr>
          <w:rFonts w:ascii="Times New Roman" w:hAnsi="Times New Roman" w:cs="Times New Roman"/>
        </w:rPr>
        <w:t>about 57% of rural employment in service sector jobs, connectivity is crucial for accessing the jobs themselves</w:t>
      </w:r>
      <w:r>
        <w:rPr>
          <w:rFonts w:ascii="Times New Roman" w:hAnsi="Times New Roman" w:cs="Times New Roman"/>
        </w:rPr>
        <w:t xml:space="preserve"> [1]. Federal broadband grants (e.g.</w:t>
      </w:r>
      <w:r w:rsidR="00E2742C">
        <w:rPr>
          <w:rFonts w:ascii="Times New Roman" w:hAnsi="Times New Roman" w:cs="Times New Roman"/>
        </w:rPr>
        <w:t>,</w:t>
      </w:r>
      <w:r>
        <w:rPr>
          <w:rFonts w:ascii="Times New Roman" w:hAnsi="Times New Roman" w:cs="Times New Roman"/>
        </w:rPr>
        <w:t xml:space="preserve"> BEAD) address rural underinvestment by funding infrastructure via states, co-ops, and local providers</w:t>
      </w:r>
      <w:r w:rsidR="00E2742C">
        <w:rPr>
          <w:rFonts w:ascii="Times New Roman" w:hAnsi="Times New Roman" w:cs="Times New Roman"/>
        </w:rPr>
        <w:t xml:space="preserve">, often with state matching requirements, to reach underserved areas [6,7]. Ultimately, broadband strengthens the dominant income </w:t>
      </w:r>
      <w:r w:rsidR="00C82199">
        <w:rPr>
          <w:rFonts w:ascii="Times New Roman" w:hAnsi="Times New Roman" w:cs="Times New Roman"/>
        </w:rPr>
        <w:t>streams, including off-farm income</w:t>
      </w:r>
      <w:r w:rsidR="00E2742C">
        <w:rPr>
          <w:rFonts w:ascii="Times New Roman" w:hAnsi="Times New Roman" w:cs="Times New Roman"/>
        </w:rPr>
        <w:t xml:space="preserve"> and businesses, which keep small farms operating and viable [1,2].</w:t>
      </w:r>
    </w:p>
    <w:p w14:paraId="6D93F18E" w14:textId="7D968413" w:rsidR="00D73438" w:rsidRPr="00D73438" w:rsidRDefault="00D73438" w:rsidP="00D73438">
      <w:pPr>
        <w:rPr>
          <w:rFonts w:ascii="Times New Roman" w:hAnsi="Times New Roman" w:cs="Times New Roman"/>
          <w:b/>
          <w:bCs/>
        </w:rPr>
      </w:pPr>
      <w:r w:rsidRPr="00D73438">
        <w:rPr>
          <w:rFonts w:ascii="Times New Roman" w:hAnsi="Times New Roman" w:cs="Times New Roman"/>
          <w:b/>
          <w:bCs/>
        </w:rPr>
        <w:t>Tradeoffs/Research Findings</w:t>
      </w:r>
    </w:p>
    <w:p w14:paraId="17E4F5FB" w14:textId="35BFADB2" w:rsidR="00977B29" w:rsidRDefault="00FB72EF" w:rsidP="00D73438">
      <w:pPr>
        <w:rPr>
          <w:rFonts w:ascii="Times New Roman" w:hAnsi="Times New Roman" w:cs="Times New Roman"/>
        </w:rPr>
      </w:pPr>
      <w:r>
        <w:rPr>
          <w:rFonts w:ascii="Times New Roman" w:hAnsi="Times New Roman" w:cs="Times New Roman"/>
        </w:rPr>
        <w:t xml:space="preserve">Effectiveness measures how well a policy achieves its intended goal. </w:t>
      </w:r>
      <w:r w:rsidR="00E2742C">
        <w:rPr>
          <w:rFonts w:ascii="Times New Roman" w:hAnsi="Times New Roman" w:cs="Times New Roman"/>
        </w:rPr>
        <w:t xml:space="preserve">Farm safety net programs help stabilize farm revenue during difficult years, but their benefits are concentrated among larger operations. </w:t>
      </w:r>
      <w:r w:rsidR="00977B29">
        <w:rPr>
          <w:rFonts w:ascii="Times New Roman" w:hAnsi="Times New Roman" w:cs="Times New Roman"/>
        </w:rPr>
        <w:t xml:space="preserve">In 2023, more than 90% of small farm households earned the majority of their income from off-farm sources, and many reported a negative net farm income [2]: </w:t>
      </w:r>
    </w:p>
    <w:p w14:paraId="045CB329" w14:textId="796A786B" w:rsidR="00FB72EF" w:rsidRDefault="00977B29" w:rsidP="00977B29">
      <w:pPr>
        <w:jc w:val="center"/>
        <w:rPr>
          <w:rFonts w:ascii="Times New Roman" w:hAnsi="Times New Roman" w:cs="Times New Roman"/>
        </w:rPr>
      </w:pPr>
      <w:r>
        <w:rPr>
          <w:rFonts w:ascii="Times New Roman" w:hAnsi="Times New Roman" w:cs="Times New Roman"/>
          <w:noProof/>
        </w:rPr>
        <w:drawing>
          <wp:inline distT="0" distB="0" distL="0" distR="0" wp14:anchorId="35E4421F" wp14:editId="7C8992F7">
            <wp:extent cx="3642676" cy="2827265"/>
            <wp:effectExtent l="0" t="0" r="0" b="0"/>
            <wp:docPr id="1017155898" name="Picture 1" descr="A graph of a number of farm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155898" name="Picture 1" descr="A graph of a number of farm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3642676" cy="2827265"/>
                    </a:xfrm>
                    <a:prstGeom prst="rect">
                      <a:avLst/>
                    </a:prstGeom>
                  </pic:spPr>
                </pic:pic>
              </a:graphicData>
            </a:graphic>
          </wp:inline>
        </w:drawing>
      </w:r>
    </w:p>
    <w:p w14:paraId="79D93E4B" w14:textId="62B3B29F" w:rsidR="00C70CD2" w:rsidRDefault="00C82199" w:rsidP="00D73438">
      <w:pPr>
        <w:rPr>
          <w:rFonts w:ascii="Times New Roman" w:hAnsi="Times New Roman" w:cs="Times New Roman"/>
        </w:rPr>
      </w:pPr>
      <w:r>
        <w:rPr>
          <w:rFonts w:ascii="Times New Roman" w:hAnsi="Times New Roman" w:cs="Times New Roman"/>
        </w:rPr>
        <w:t xml:space="preserve">Research supports the broader economic returns from rural broadband investment. An economic study found that broadband access above 30 Mbit/s boosted regional GDP growth, while high-speed coverage (&gt; 100 Mbit/s) produced the most significant gains in rural areas [12]. </w:t>
      </w:r>
      <w:r w:rsidR="00FB72EF">
        <w:rPr>
          <w:rFonts w:ascii="Times New Roman" w:hAnsi="Times New Roman" w:cs="Times New Roman"/>
        </w:rPr>
        <w:t xml:space="preserve">Broadband expansion connects rural communities and enables both farm and nonfarm work [6]. In 2017, 56% of principal operators held an off-farm job, and </w:t>
      </w:r>
      <w:r w:rsidR="00A146DB">
        <w:rPr>
          <w:rFonts w:ascii="Times New Roman" w:hAnsi="Times New Roman" w:cs="Times New Roman"/>
        </w:rPr>
        <w:t>82%</w:t>
      </w:r>
      <w:r w:rsidR="00FB72EF">
        <w:rPr>
          <w:rFonts w:ascii="Times New Roman" w:hAnsi="Times New Roman" w:cs="Times New Roman"/>
        </w:rPr>
        <w:t xml:space="preserve"> of farm household income comes from off-farm sources [1]. With 57% of rural employment in service-sector jobs, broadband directly supports the primary income stream for most farm households. </w:t>
      </w:r>
    </w:p>
    <w:p w14:paraId="57D918E6" w14:textId="22EBCDC4" w:rsidR="00FB72EF" w:rsidRPr="000910FB" w:rsidRDefault="00FB72EF" w:rsidP="00D73438">
      <w:pPr>
        <w:rPr>
          <w:rFonts w:ascii="Times New Roman" w:hAnsi="Times New Roman" w:cs="Times New Roman"/>
        </w:rPr>
      </w:pPr>
      <w:r>
        <w:rPr>
          <w:rFonts w:ascii="Times New Roman" w:hAnsi="Times New Roman" w:cs="Times New Roman"/>
        </w:rPr>
        <w:lastRenderedPageBreak/>
        <w:t xml:space="preserve">Efficiency considers whether benefits are worth the costs. </w:t>
      </w:r>
      <w:r w:rsidR="00977B29">
        <w:rPr>
          <w:rFonts w:ascii="Times New Roman" w:hAnsi="Times New Roman" w:cs="Times New Roman"/>
        </w:rPr>
        <w:t>Farm safety net programs cost</w:t>
      </w:r>
      <w:r>
        <w:rPr>
          <w:rFonts w:ascii="Times New Roman" w:hAnsi="Times New Roman" w:cs="Times New Roman"/>
        </w:rPr>
        <w:t xml:space="preserve"> taxpayers billions annually, but benefits are concentrated among larger farms. Broadband grants </w:t>
      </w:r>
      <w:r w:rsidR="000412A9">
        <w:rPr>
          <w:rFonts w:ascii="Times New Roman" w:hAnsi="Times New Roman" w:cs="Times New Roman"/>
        </w:rPr>
        <w:t>(e.g.</w:t>
      </w:r>
      <w:r w:rsidR="0056107A">
        <w:rPr>
          <w:rFonts w:ascii="Times New Roman" w:hAnsi="Times New Roman" w:cs="Times New Roman"/>
        </w:rPr>
        <w:t>,</w:t>
      </w:r>
      <w:r w:rsidR="000412A9">
        <w:rPr>
          <w:rFonts w:ascii="Times New Roman" w:hAnsi="Times New Roman" w:cs="Times New Roman"/>
        </w:rPr>
        <w:t xml:space="preserve"> BEAD’s $42.45 billion) have high upfront costs but deliver spillovers across farms, households, schools, businesses, and healthcare providers [6,7]. Because broadband underpins the off-farm earnings that sustain most farm households, its returns are distributed community-wide rather than captured by a small slice of producers [1].  </w:t>
      </w:r>
    </w:p>
    <w:p w14:paraId="16189F36" w14:textId="235877B5" w:rsidR="00D73438" w:rsidRDefault="00D73438" w:rsidP="00D73438">
      <w:pPr>
        <w:rPr>
          <w:rFonts w:ascii="Times New Roman" w:hAnsi="Times New Roman" w:cs="Times New Roman"/>
          <w:b/>
          <w:bCs/>
        </w:rPr>
      </w:pPr>
      <w:r w:rsidRPr="00D73438">
        <w:rPr>
          <w:rFonts w:ascii="Times New Roman" w:hAnsi="Times New Roman" w:cs="Times New Roman"/>
          <w:b/>
          <w:bCs/>
        </w:rPr>
        <w:t>References</w:t>
      </w:r>
    </w:p>
    <w:p w14:paraId="40475549" w14:textId="08175925" w:rsidR="00D73438" w:rsidRPr="00D33DD5" w:rsidRDefault="00D73438" w:rsidP="00D33DD5">
      <w:pPr>
        <w:pStyle w:val="ListParagraph"/>
        <w:numPr>
          <w:ilvl w:val="0"/>
          <w:numId w:val="2"/>
        </w:numPr>
        <w:rPr>
          <w:rFonts w:ascii="Times New Roman" w:hAnsi="Times New Roman" w:cs="Times New Roman"/>
        </w:rPr>
      </w:pPr>
      <w:r w:rsidRPr="00D33DD5">
        <w:rPr>
          <w:rFonts w:ascii="Times New Roman" w:hAnsi="Times New Roman" w:cs="Times New Roman"/>
        </w:rPr>
        <w:t xml:space="preserve">Spell A, Jacobs K, Low S, Krohn J. </w:t>
      </w:r>
      <w:r w:rsidRPr="00D33DD5">
        <w:rPr>
          <w:rFonts w:ascii="Times New Roman" w:hAnsi="Times New Roman" w:cs="Times New Roman"/>
          <w:i/>
          <w:iCs/>
        </w:rPr>
        <w:t>The importance of off-farm income to the agricultural economy</w:t>
      </w:r>
      <w:r w:rsidRPr="00D33DD5">
        <w:rPr>
          <w:rFonts w:ascii="Times New Roman" w:hAnsi="Times New Roman" w:cs="Times New Roman"/>
        </w:rPr>
        <w:t xml:space="preserve">. University of Missouri Extension &amp; CoBank; 2022. Available from: </w:t>
      </w:r>
      <w:hyperlink r:id="rId8" w:tgtFrame="_new" w:history="1">
        <w:r w:rsidRPr="00D33DD5">
          <w:rPr>
            <w:rStyle w:val="Hyperlink"/>
            <w:rFonts w:ascii="Times New Roman" w:hAnsi="Times New Roman" w:cs="Times New Roman"/>
          </w:rPr>
          <w:t>https://www.cobank.com/documents/7714906/7715332/Off-FarmIncome_Report_U-of-Missouri-Extension.pdf</w:t>
        </w:r>
      </w:hyperlink>
    </w:p>
    <w:p w14:paraId="0B9F9EB3" w14:textId="03FBEBDE" w:rsidR="00D73438" w:rsidRPr="00D33DD5" w:rsidRDefault="00D73438" w:rsidP="00D33DD5">
      <w:pPr>
        <w:pStyle w:val="ListParagraph"/>
        <w:numPr>
          <w:ilvl w:val="0"/>
          <w:numId w:val="2"/>
        </w:numPr>
        <w:rPr>
          <w:rFonts w:ascii="Times New Roman" w:hAnsi="Times New Roman" w:cs="Times New Roman"/>
        </w:rPr>
      </w:pPr>
      <w:r w:rsidRPr="00D33DD5">
        <w:rPr>
          <w:rFonts w:ascii="Times New Roman" w:hAnsi="Times New Roman" w:cs="Times New Roman"/>
        </w:rPr>
        <w:t xml:space="preserve">USDA Economic Research Service. </w:t>
      </w:r>
      <w:r w:rsidRPr="00D33DD5">
        <w:rPr>
          <w:rFonts w:ascii="Times New Roman" w:hAnsi="Times New Roman" w:cs="Times New Roman"/>
          <w:i/>
          <w:iCs/>
        </w:rPr>
        <w:t>Economic well-being of farm households, 2022 edition</w:t>
      </w:r>
      <w:r w:rsidRPr="00D33DD5">
        <w:rPr>
          <w:rFonts w:ascii="Times New Roman" w:hAnsi="Times New Roman" w:cs="Times New Roman"/>
        </w:rPr>
        <w:t xml:space="preserve">. Economic Information Bulletin No. 283. Washington (DC): USDA ERS; 2022. Available from: </w:t>
      </w:r>
      <w:hyperlink r:id="rId9" w:tgtFrame="_new" w:history="1">
        <w:r w:rsidRPr="00D33DD5">
          <w:rPr>
            <w:rStyle w:val="Hyperlink"/>
            <w:rFonts w:ascii="Times New Roman" w:hAnsi="Times New Roman" w:cs="Times New Roman"/>
          </w:rPr>
          <w:t>https://www.ers.usda.gov/publications/pub-details/?pubid=110559</w:t>
        </w:r>
      </w:hyperlink>
    </w:p>
    <w:p w14:paraId="0597EFF4" w14:textId="28F092B7" w:rsidR="00D73438" w:rsidRPr="00D33DD5" w:rsidRDefault="00D73438" w:rsidP="00D33DD5">
      <w:pPr>
        <w:pStyle w:val="ListParagraph"/>
        <w:numPr>
          <w:ilvl w:val="0"/>
          <w:numId w:val="2"/>
        </w:numPr>
        <w:rPr>
          <w:rFonts w:ascii="Times New Roman" w:hAnsi="Times New Roman" w:cs="Times New Roman"/>
        </w:rPr>
      </w:pPr>
      <w:r w:rsidRPr="00D33DD5">
        <w:rPr>
          <w:rFonts w:ascii="Times New Roman" w:hAnsi="Times New Roman" w:cs="Times New Roman"/>
        </w:rPr>
        <w:t xml:space="preserve">USDA Economic Research Service. </w:t>
      </w:r>
      <w:r w:rsidRPr="00D33DD5">
        <w:rPr>
          <w:rFonts w:ascii="Times New Roman" w:hAnsi="Times New Roman" w:cs="Times New Roman"/>
          <w:i/>
          <w:iCs/>
        </w:rPr>
        <w:t>Off-farm income, technology adoption, and farm household income</w:t>
      </w:r>
      <w:r w:rsidRPr="00D33DD5">
        <w:rPr>
          <w:rFonts w:ascii="Times New Roman" w:hAnsi="Times New Roman" w:cs="Times New Roman"/>
        </w:rPr>
        <w:t xml:space="preserve">. Economic Information Bulletin No. 63. Washington (DC): USDA ERS; 2009. Available from: </w:t>
      </w:r>
      <w:hyperlink r:id="rId10" w:tgtFrame="_new" w:history="1">
        <w:r w:rsidRPr="00D33DD5">
          <w:rPr>
            <w:rStyle w:val="Hyperlink"/>
            <w:rFonts w:ascii="Times New Roman" w:hAnsi="Times New Roman" w:cs="Times New Roman"/>
          </w:rPr>
          <w:t>https://www.ers.usda.gov/publications/pub-details/?pubid=44463</w:t>
        </w:r>
      </w:hyperlink>
    </w:p>
    <w:p w14:paraId="7C8F7E8D" w14:textId="37996585" w:rsidR="00D73438" w:rsidRPr="00D33DD5" w:rsidRDefault="00D73438" w:rsidP="00D33DD5">
      <w:pPr>
        <w:pStyle w:val="ListParagraph"/>
        <w:numPr>
          <w:ilvl w:val="0"/>
          <w:numId w:val="2"/>
        </w:numPr>
        <w:rPr>
          <w:rFonts w:ascii="Times New Roman" w:hAnsi="Times New Roman" w:cs="Times New Roman"/>
        </w:rPr>
      </w:pPr>
      <w:r w:rsidRPr="00D33DD5">
        <w:rPr>
          <w:rFonts w:ascii="Times New Roman" w:hAnsi="Times New Roman" w:cs="Times New Roman"/>
        </w:rPr>
        <w:t xml:space="preserve">Mishra AK, El-Osta HS, Gillespie J. The rural-urban income divide among farm households. </w:t>
      </w:r>
      <w:r w:rsidRPr="00D33DD5">
        <w:rPr>
          <w:rFonts w:ascii="Times New Roman" w:hAnsi="Times New Roman" w:cs="Times New Roman"/>
          <w:i/>
          <w:iCs/>
        </w:rPr>
        <w:t>Agricultural Finance Review</w:t>
      </w:r>
      <w:r w:rsidRPr="00D33DD5">
        <w:rPr>
          <w:rFonts w:ascii="Times New Roman" w:hAnsi="Times New Roman" w:cs="Times New Roman"/>
        </w:rPr>
        <w:t xml:space="preserve">. 2018;80(4):453–472. Available from: </w:t>
      </w:r>
      <w:hyperlink r:id="rId11" w:history="1">
        <w:r w:rsidRPr="00D33DD5">
          <w:rPr>
            <w:rStyle w:val="Hyperlink"/>
            <w:rFonts w:ascii="Times New Roman" w:hAnsi="Times New Roman" w:cs="Times New Roman"/>
          </w:rPr>
          <w:t>https://www.emerald.com/afr/article-abstract/80/4/453/59774/The-rural-urban-income-divide-among-farm?redirectedFrom=fulltext</w:t>
        </w:r>
      </w:hyperlink>
    </w:p>
    <w:p w14:paraId="2D9E8222" w14:textId="05920F3E" w:rsidR="00D73438" w:rsidRPr="00D33DD5" w:rsidRDefault="00D73438" w:rsidP="00D33DD5">
      <w:pPr>
        <w:pStyle w:val="ListParagraph"/>
        <w:numPr>
          <w:ilvl w:val="0"/>
          <w:numId w:val="2"/>
        </w:numPr>
        <w:rPr>
          <w:rFonts w:ascii="Times New Roman" w:hAnsi="Times New Roman" w:cs="Times New Roman"/>
        </w:rPr>
      </w:pPr>
      <w:r w:rsidRPr="00D33DD5">
        <w:rPr>
          <w:rFonts w:ascii="Times New Roman" w:hAnsi="Times New Roman" w:cs="Times New Roman"/>
        </w:rPr>
        <w:t xml:space="preserve">Shields DA, Hopkinson K. </w:t>
      </w:r>
      <w:r w:rsidRPr="00D33DD5">
        <w:rPr>
          <w:rFonts w:ascii="Times New Roman" w:hAnsi="Times New Roman" w:cs="Times New Roman"/>
          <w:i/>
          <w:iCs/>
        </w:rPr>
        <w:t>2023 and 2024 farm sector profitability: issues for Congress</w:t>
      </w:r>
      <w:r w:rsidRPr="00D33DD5">
        <w:rPr>
          <w:rFonts w:ascii="Times New Roman" w:hAnsi="Times New Roman" w:cs="Times New Roman"/>
        </w:rPr>
        <w:t xml:space="preserve">. Congressional Research Service Report R48278. Washington (DC): CRS; 2024 Nov 21. Available from: </w:t>
      </w:r>
      <w:hyperlink r:id="rId12" w:history="1">
        <w:r w:rsidRPr="00D33DD5">
          <w:rPr>
            <w:rStyle w:val="Hyperlink"/>
            <w:rFonts w:ascii="Times New Roman" w:hAnsi="Times New Roman" w:cs="Times New Roman"/>
          </w:rPr>
          <w:t>https://www.congress.gov/crs-product/R48278</w:t>
        </w:r>
      </w:hyperlink>
      <w:r w:rsidRPr="00D33DD5">
        <w:rPr>
          <w:rFonts w:ascii="Times New Roman" w:hAnsi="Times New Roman" w:cs="Times New Roman"/>
        </w:rPr>
        <w:t xml:space="preserve"> </w:t>
      </w:r>
    </w:p>
    <w:p w14:paraId="76DD2043" w14:textId="77777777" w:rsidR="00D73438" w:rsidRPr="00D33DD5" w:rsidRDefault="00D73438" w:rsidP="00D33DD5">
      <w:pPr>
        <w:pStyle w:val="ListParagraph"/>
        <w:numPr>
          <w:ilvl w:val="0"/>
          <w:numId w:val="2"/>
        </w:numPr>
        <w:rPr>
          <w:rFonts w:ascii="Times New Roman" w:hAnsi="Times New Roman" w:cs="Times New Roman"/>
        </w:rPr>
      </w:pPr>
      <w:r w:rsidRPr="00D33DD5">
        <w:rPr>
          <w:rFonts w:ascii="Times New Roman" w:hAnsi="Times New Roman" w:cs="Times New Roman"/>
        </w:rPr>
        <w:t xml:space="preserve">Monke J, Stubbs M. </w:t>
      </w:r>
      <w:r w:rsidRPr="00D33DD5">
        <w:rPr>
          <w:rFonts w:ascii="Times New Roman" w:hAnsi="Times New Roman" w:cs="Times New Roman"/>
          <w:i/>
          <w:iCs/>
        </w:rPr>
        <w:t>Farm bill primer: rural broadband provisions</w:t>
      </w:r>
      <w:r w:rsidRPr="00D33DD5">
        <w:rPr>
          <w:rFonts w:ascii="Times New Roman" w:hAnsi="Times New Roman" w:cs="Times New Roman"/>
        </w:rPr>
        <w:t xml:space="preserve">. Congressional Research Service In Focus IF12041. Washington (DC): CRS; 2024 Dec 3. Available from: </w:t>
      </w:r>
      <w:hyperlink r:id="rId13" w:history="1">
        <w:r w:rsidRPr="00D33DD5">
          <w:rPr>
            <w:rStyle w:val="Hyperlink"/>
            <w:rFonts w:ascii="Times New Roman" w:hAnsi="Times New Roman" w:cs="Times New Roman"/>
          </w:rPr>
          <w:t>https://www.congress.gov/crs-product/IF12041</w:t>
        </w:r>
      </w:hyperlink>
      <w:r w:rsidRPr="00D33DD5">
        <w:rPr>
          <w:rFonts w:ascii="Times New Roman" w:hAnsi="Times New Roman" w:cs="Times New Roman"/>
        </w:rPr>
        <w:t xml:space="preserve"> </w:t>
      </w:r>
    </w:p>
    <w:p w14:paraId="17D54586" w14:textId="77777777" w:rsidR="00D33DD5" w:rsidRPr="00D33DD5" w:rsidRDefault="00D33DD5" w:rsidP="00D33DD5">
      <w:pPr>
        <w:pStyle w:val="ListParagraph"/>
        <w:numPr>
          <w:ilvl w:val="0"/>
          <w:numId w:val="2"/>
        </w:numPr>
        <w:rPr>
          <w:rFonts w:ascii="Times New Roman" w:hAnsi="Times New Roman" w:cs="Times New Roman"/>
        </w:rPr>
      </w:pPr>
      <w:r w:rsidRPr="00D33DD5">
        <w:rPr>
          <w:rFonts w:ascii="Times New Roman" w:hAnsi="Times New Roman" w:cs="Times New Roman"/>
        </w:rPr>
        <w:t xml:space="preserve">Stenberg PL, Morehart MJ, Vogel SJ, Cromartie J, Breneman V, Brown D. </w:t>
      </w:r>
      <w:r w:rsidRPr="00D33DD5">
        <w:rPr>
          <w:rFonts w:ascii="Times New Roman" w:hAnsi="Times New Roman" w:cs="Times New Roman"/>
          <w:i/>
          <w:iCs/>
        </w:rPr>
        <w:t>Broadband Internet’s Value for Rural America</w:t>
      </w:r>
      <w:r w:rsidRPr="00D33DD5">
        <w:rPr>
          <w:rFonts w:ascii="Times New Roman" w:hAnsi="Times New Roman" w:cs="Times New Roman"/>
        </w:rPr>
        <w:t xml:space="preserve">. Economic Research Report No. 78. Washington (DC): United States Department of Agriculture, Economic Research Service; 2009. Available from: </w:t>
      </w:r>
      <w:hyperlink r:id="rId14" w:tgtFrame="_new" w:history="1">
        <w:r w:rsidRPr="00D33DD5">
          <w:rPr>
            <w:rStyle w:val="Hyperlink"/>
            <w:rFonts w:ascii="Times New Roman" w:hAnsi="Times New Roman" w:cs="Times New Roman"/>
          </w:rPr>
          <w:t>https://www.ers.usda.gov/publications/pub-details/?pubid=46215</w:t>
        </w:r>
      </w:hyperlink>
    </w:p>
    <w:p w14:paraId="1FBEAA21" w14:textId="5F534043" w:rsidR="00D73438" w:rsidRPr="00D33DD5" w:rsidRDefault="00D73438" w:rsidP="00D33DD5">
      <w:pPr>
        <w:pStyle w:val="ListParagraph"/>
        <w:numPr>
          <w:ilvl w:val="0"/>
          <w:numId w:val="2"/>
        </w:numPr>
        <w:rPr>
          <w:rFonts w:ascii="Times New Roman" w:hAnsi="Times New Roman" w:cs="Times New Roman"/>
        </w:rPr>
      </w:pPr>
      <w:r w:rsidRPr="00D33DD5">
        <w:rPr>
          <w:rFonts w:ascii="Times New Roman" w:hAnsi="Times New Roman" w:cs="Times New Roman"/>
        </w:rPr>
        <w:t xml:space="preserve">Low SA, Vogel SJ. </w:t>
      </w:r>
      <w:r w:rsidRPr="00D33DD5">
        <w:rPr>
          <w:rFonts w:ascii="Times New Roman" w:hAnsi="Times New Roman" w:cs="Times New Roman"/>
          <w:i/>
          <w:iCs/>
        </w:rPr>
        <w:t>Rural development provisions of the 2018 farm bill (P.L. 115-334)</w:t>
      </w:r>
      <w:r w:rsidRPr="00D33DD5">
        <w:rPr>
          <w:rFonts w:ascii="Times New Roman" w:hAnsi="Times New Roman" w:cs="Times New Roman"/>
        </w:rPr>
        <w:t xml:space="preserve">. Congressional Research Service Report R46235. Washington (DC): CRS; 2020 Jan 15. Available from: </w:t>
      </w:r>
      <w:hyperlink r:id="rId15" w:history="1">
        <w:r w:rsidRPr="00D33DD5">
          <w:rPr>
            <w:rStyle w:val="Hyperlink"/>
            <w:rFonts w:ascii="Times New Roman" w:hAnsi="Times New Roman" w:cs="Times New Roman"/>
          </w:rPr>
          <w:t>https://www.congress.gov/crs-product/R46235</w:t>
        </w:r>
      </w:hyperlink>
      <w:r w:rsidRPr="00D33DD5">
        <w:rPr>
          <w:rFonts w:ascii="Times New Roman" w:hAnsi="Times New Roman" w:cs="Times New Roman"/>
        </w:rPr>
        <w:t xml:space="preserve"> </w:t>
      </w:r>
    </w:p>
    <w:p w14:paraId="26481A76" w14:textId="77777777" w:rsidR="00D73438" w:rsidRPr="00D33DD5" w:rsidRDefault="00D73438" w:rsidP="00D33DD5">
      <w:pPr>
        <w:pStyle w:val="ListParagraph"/>
        <w:numPr>
          <w:ilvl w:val="0"/>
          <w:numId w:val="2"/>
        </w:numPr>
        <w:rPr>
          <w:rFonts w:ascii="Times New Roman" w:hAnsi="Times New Roman" w:cs="Times New Roman"/>
        </w:rPr>
      </w:pPr>
      <w:r w:rsidRPr="00D33DD5">
        <w:rPr>
          <w:rFonts w:ascii="Times New Roman" w:hAnsi="Times New Roman" w:cs="Times New Roman"/>
        </w:rPr>
        <w:t xml:space="preserve">USDA Economic Research Service. </w:t>
      </w:r>
      <w:r w:rsidRPr="00D33DD5">
        <w:rPr>
          <w:rFonts w:ascii="Times New Roman" w:hAnsi="Times New Roman" w:cs="Times New Roman"/>
          <w:i/>
          <w:iCs/>
        </w:rPr>
        <w:t>U.S. farm household sources of off-farm income, 2023</w:t>
      </w:r>
      <w:r w:rsidRPr="00D33DD5">
        <w:rPr>
          <w:rFonts w:ascii="Times New Roman" w:hAnsi="Times New Roman" w:cs="Times New Roman"/>
        </w:rPr>
        <w:t xml:space="preserve">. ERS Chart Gallery. Washington (DC): USDA ERS; 2023. Available from: </w:t>
      </w:r>
      <w:hyperlink r:id="rId16" w:history="1">
        <w:r w:rsidRPr="00D33DD5">
          <w:rPr>
            <w:rStyle w:val="Hyperlink"/>
            <w:rFonts w:ascii="Times New Roman" w:hAnsi="Times New Roman" w:cs="Times New Roman"/>
          </w:rPr>
          <w:t>https://www.ers.usda.gov/data-products/chart-gallery/chart-detail?chartId=108005</w:t>
        </w:r>
      </w:hyperlink>
      <w:r w:rsidRPr="00D33DD5">
        <w:rPr>
          <w:rFonts w:ascii="Times New Roman" w:hAnsi="Times New Roman" w:cs="Times New Roman"/>
        </w:rPr>
        <w:t xml:space="preserve"> </w:t>
      </w:r>
    </w:p>
    <w:p w14:paraId="17B37574" w14:textId="43C82B4A" w:rsidR="00D73438" w:rsidRPr="00D33DD5" w:rsidRDefault="00D73438" w:rsidP="00D33DD5">
      <w:pPr>
        <w:pStyle w:val="ListParagraph"/>
        <w:numPr>
          <w:ilvl w:val="0"/>
          <w:numId w:val="2"/>
        </w:numPr>
        <w:rPr>
          <w:rFonts w:ascii="Times New Roman" w:hAnsi="Times New Roman" w:cs="Times New Roman"/>
        </w:rPr>
      </w:pPr>
      <w:r w:rsidRPr="00D33DD5">
        <w:rPr>
          <w:rFonts w:ascii="Times New Roman" w:hAnsi="Times New Roman" w:cs="Times New Roman"/>
        </w:rPr>
        <w:lastRenderedPageBreak/>
        <w:t xml:space="preserve">Wei X, Zhang L, Sun H. Internet use and rural income inequality: evidence from household survey data. </w:t>
      </w:r>
      <w:r w:rsidRPr="00D33DD5">
        <w:rPr>
          <w:rFonts w:ascii="Times New Roman" w:hAnsi="Times New Roman" w:cs="Times New Roman"/>
          <w:i/>
          <w:iCs/>
        </w:rPr>
        <w:t>Economic Research-Ekonomska Istraživanja</w:t>
      </w:r>
      <w:r w:rsidRPr="00D33DD5">
        <w:rPr>
          <w:rFonts w:ascii="Times New Roman" w:hAnsi="Times New Roman" w:cs="Times New Roman"/>
        </w:rPr>
        <w:t xml:space="preserve">. 2024;37(1):2186–2203. Available from: </w:t>
      </w:r>
      <w:hyperlink r:id="rId17" w:tgtFrame="_new" w:history="1">
        <w:r w:rsidRPr="00D33DD5">
          <w:rPr>
            <w:rStyle w:val="Hyperlink"/>
            <w:rFonts w:ascii="Times New Roman" w:hAnsi="Times New Roman" w:cs="Times New Roman"/>
          </w:rPr>
          <w:t>https://www.tandfonline.com/doi/full/10.1080/1331677X.2023.2186914</w:t>
        </w:r>
      </w:hyperlink>
    </w:p>
    <w:p w14:paraId="5AADA467" w14:textId="4E27EFB8" w:rsidR="00D73438" w:rsidRPr="0061459F" w:rsidRDefault="00D73438" w:rsidP="00D33DD5">
      <w:pPr>
        <w:pStyle w:val="ListParagraph"/>
        <w:numPr>
          <w:ilvl w:val="0"/>
          <w:numId w:val="2"/>
        </w:numPr>
        <w:rPr>
          <w:rFonts w:ascii="Times New Roman" w:hAnsi="Times New Roman" w:cs="Times New Roman"/>
        </w:rPr>
      </w:pPr>
      <w:r w:rsidRPr="00D33DD5">
        <w:rPr>
          <w:rFonts w:ascii="Times New Roman" w:hAnsi="Times New Roman" w:cs="Times New Roman"/>
        </w:rPr>
        <w:t xml:space="preserve">LoPiccalo K. Broadband penetration and U.S. farm productivity. </w:t>
      </w:r>
      <w:r w:rsidRPr="00D33DD5">
        <w:rPr>
          <w:rFonts w:ascii="Times New Roman" w:hAnsi="Times New Roman" w:cs="Times New Roman"/>
          <w:i/>
          <w:iCs/>
        </w:rPr>
        <w:t>Telecommunications Policy</w:t>
      </w:r>
      <w:r w:rsidRPr="00D33DD5">
        <w:rPr>
          <w:rFonts w:ascii="Times New Roman" w:hAnsi="Times New Roman" w:cs="Times New Roman"/>
        </w:rPr>
        <w:t xml:space="preserve">. 2022;46(7):102366. Available from: </w:t>
      </w:r>
      <w:hyperlink r:id="rId18" w:tgtFrame="_new" w:history="1">
        <w:r w:rsidRPr="00D33DD5">
          <w:rPr>
            <w:rStyle w:val="Hyperlink"/>
            <w:rFonts w:ascii="Times New Roman" w:hAnsi="Times New Roman" w:cs="Times New Roman"/>
          </w:rPr>
          <w:t>https://www.sciencedirect.com/science/article/abs/pii/S0308596122000982</w:t>
        </w:r>
      </w:hyperlink>
    </w:p>
    <w:p w14:paraId="7140653A" w14:textId="2395A89A" w:rsidR="0061459F" w:rsidRPr="00D33DD5" w:rsidRDefault="0061459F" w:rsidP="00D33DD5">
      <w:pPr>
        <w:pStyle w:val="ListParagraph"/>
        <w:numPr>
          <w:ilvl w:val="0"/>
          <w:numId w:val="2"/>
        </w:numPr>
        <w:rPr>
          <w:rFonts w:ascii="Times New Roman" w:hAnsi="Times New Roman" w:cs="Times New Roman"/>
        </w:rPr>
      </w:pPr>
      <w:r w:rsidRPr="0061459F">
        <w:rPr>
          <w:rFonts w:ascii="Times New Roman" w:hAnsi="Times New Roman" w:cs="Times New Roman"/>
        </w:rPr>
        <w:t xml:space="preserve">de Clercq M, </w:t>
      </w:r>
      <w:proofErr w:type="spellStart"/>
      <w:r w:rsidRPr="0061459F">
        <w:rPr>
          <w:rFonts w:ascii="Times New Roman" w:hAnsi="Times New Roman" w:cs="Times New Roman"/>
        </w:rPr>
        <w:t>D’Haese</w:t>
      </w:r>
      <w:proofErr w:type="spellEnd"/>
      <w:r w:rsidRPr="0061459F">
        <w:rPr>
          <w:rFonts w:ascii="Times New Roman" w:hAnsi="Times New Roman" w:cs="Times New Roman"/>
        </w:rPr>
        <w:t xml:space="preserve"> M, Buysse J. </w:t>
      </w:r>
      <w:r w:rsidRPr="0061459F">
        <w:rPr>
          <w:rFonts w:ascii="Times New Roman" w:hAnsi="Times New Roman" w:cs="Times New Roman"/>
          <w:i/>
          <w:iCs/>
        </w:rPr>
        <w:t>Economic growth and broadband access: The European urban-rural digital divide.</w:t>
      </w:r>
      <w:r w:rsidRPr="0061459F">
        <w:rPr>
          <w:rFonts w:ascii="Times New Roman" w:hAnsi="Times New Roman" w:cs="Times New Roman"/>
        </w:rPr>
        <w:t xml:space="preserve"> </w:t>
      </w:r>
      <w:r w:rsidRPr="005C55BB">
        <w:rPr>
          <w:rFonts w:ascii="Times New Roman" w:hAnsi="Times New Roman" w:cs="Times New Roman"/>
        </w:rPr>
        <w:t>Telecommunications Policy.</w:t>
      </w:r>
      <w:r w:rsidRPr="0061459F">
        <w:rPr>
          <w:rFonts w:ascii="Times New Roman" w:hAnsi="Times New Roman" w:cs="Times New Roman"/>
        </w:rPr>
        <w:t xml:space="preserve"> 2023; 47(7): 102579. Available from:</w:t>
      </w:r>
      <w:r>
        <w:rPr>
          <w:rFonts w:ascii="Times New Roman" w:hAnsi="Times New Roman" w:cs="Times New Roman"/>
        </w:rPr>
        <w:t xml:space="preserve"> </w:t>
      </w:r>
      <w:hyperlink r:id="rId19" w:history="1">
        <w:r w:rsidRPr="00EE0E89">
          <w:rPr>
            <w:rStyle w:val="Hyperlink"/>
            <w:rFonts w:ascii="Times New Roman" w:hAnsi="Times New Roman" w:cs="Times New Roman"/>
          </w:rPr>
          <w:t>https://www.sciencedirect.com/science/article/pii/S0308596123000903</w:t>
        </w:r>
      </w:hyperlink>
      <w:r>
        <w:rPr>
          <w:rFonts w:ascii="Times New Roman" w:hAnsi="Times New Roman" w:cs="Times New Roman"/>
        </w:rPr>
        <w:t xml:space="preserve"> </w:t>
      </w:r>
    </w:p>
    <w:p w14:paraId="1F158540" w14:textId="77777777" w:rsidR="00D73438" w:rsidRPr="00D73438" w:rsidRDefault="00D73438" w:rsidP="00D73438">
      <w:pPr>
        <w:rPr>
          <w:rFonts w:ascii="Times New Roman" w:hAnsi="Times New Roman" w:cs="Times New Roman"/>
        </w:rPr>
      </w:pPr>
    </w:p>
    <w:sectPr w:rsidR="00D73438" w:rsidRPr="00D73438">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CDDBE" w14:textId="77777777" w:rsidR="00EA4B64" w:rsidRDefault="00EA4B64" w:rsidP="00D73438">
      <w:pPr>
        <w:spacing w:after="0" w:line="240" w:lineRule="auto"/>
      </w:pPr>
      <w:r>
        <w:separator/>
      </w:r>
    </w:p>
  </w:endnote>
  <w:endnote w:type="continuationSeparator" w:id="0">
    <w:p w14:paraId="01891365" w14:textId="77777777" w:rsidR="00EA4B64" w:rsidRDefault="00EA4B64" w:rsidP="00D73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4073B" w14:textId="77777777" w:rsidR="00EA4B64" w:rsidRDefault="00EA4B64" w:rsidP="00D73438">
      <w:pPr>
        <w:spacing w:after="0" w:line="240" w:lineRule="auto"/>
      </w:pPr>
      <w:r>
        <w:separator/>
      </w:r>
    </w:p>
  </w:footnote>
  <w:footnote w:type="continuationSeparator" w:id="0">
    <w:p w14:paraId="22D8AB15" w14:textId="77777777" w:rsidR="00EA4B64" w:rsidRDefault="00EA4B64" w:rsidP="00D73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9234275"/>
      <w:docPartObj>
        <w:docPartGallery w:val="Page Numbers (Top of Page)"/>
        <w:docPartUnique/>
      </w:docPartObj>
    </w:sdtPr>
    <w:sdtEndPr>
      <w:rPr>
        <w:rFonts w:ascii="Times New Roman" w:hAnsi="Times New Roman" w:cs="Times New Roman"/>
        <w:noProof/>
      </w:rPr>
    </w:sdtEndPr>
    <w:sdtContent>
      <w:p w14:paraId="12BFC6C5" w14:textId="585B5201" w:rsidR="00D73438" w:rsidRPr="00D73438" w:rsidRDefault="00D73438">
        <w:pPr>
          <w:pStyle w:val="Header"/>
          <w:jc w:val="right"/>
          <w:rPr>
            <w:rFonts w:ascii="Times New Roman" w:hAnsi="Times New Roman" w:cs="Times New Roman"/>
          </w:rPr>
        </w:pPr>
        <w:r w:rsidRPr="00D73438">
          <w:rPr>
            <w:rFonts w:ascii="Times New Roman" w:hAnsi="Times New Roman" w:cs="Times New Roman"/>
          </w:rPr>
          <w:fldChar w:fldCharType="begin"/>
        </w:r>
        <w:r w:rsidRPr="00D73438">
          <w:rPr>
            <w:rFonts w:ascii="Times New Roman" w:hAnsi="Times New Roman" w:cs="Times New Roman"/>
          </w:rPr>
          <w:instrText xml:space="preserve"> PAGE   \* MERGEFORMAT </w:instrText>
        </w:r>
        <w:r w:rsidRPr="00D73438">
          <w:rPr>
            <w:rFonts w:ascii="Times New Roman" w:hAnsi="Times New Roman" w:cs="Times New Roman"/>
          </w:rPr>
          <w:fldChar w:fldCharType="separate"/>
        </w:r>
        <w:r w:rsidRPr="00D73438">
          <w:rPr>
            <w:rFonts w:ascii="Times New Roman" w:hAnsi="Times New Roman" w:cs="Times New Roman"/>
            <w:noProof/>
          </w:rPr>
          <w:t>2</w:t>
        </w:r>
        <w:r w:rsidRPr="00D73438">
          <w:rPr>
            <w:rFonts w:ascii="Times New Roman" w:hAnsi="Times New Roman" w:cs="Times New Roman"/>
            <w:noProof/>
          </w:rPr>
          <w:fldChar w:fldCharType="end"/>
        </w:r>
      </w:p>
    </w:sdtContent>
  </w:sdt>
  <w:p w14:paraId="38E0C80A" w14:textId="77777777" w:rsidR="00D73438" w:rsidRDefault="00D734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3781E"/>
    <w:multiLevelType w:val="hybridMultilevel"/>
    <w:tmpl w:val="8810361C"/>
    <w:lvl w:ilvl="0" w:tplc="E4B0F494">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537ABD"/>
    <w:multiLevelType w:val="hybridMultilevel"/>
    <w:tmpl w:val="CFA0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8354720">
    <w:abstractNumId w:val="0"/>
  </w:num>
  <w:num w:numId="2" w16cid:durableId="1498809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474"/>
    <w:rsid w:val="000412A9"/>
    <w:rsid w:val="000910FB"/>
    <w:rsid w:val="000F11E3"/>
    <w:rsid w:val="000F202D"/>
    <w:rsid w:val="000F2EE1"/>
    <w:rsid w:val="001071CB"/>
    <w:rsid w:val="0016316C"/>
    <w:rsid w:val="001635BB"/>
    <w:rsid w:val="001B1468"/>
    <w:rsid w:val="001B1A31"/>
    <w:rsid w:val="002D74FA"/>
    <w:rsid w:val="003D7F05"/>
    <w:rsid w:val="00406FF8"/>
    <w:rsid w:val="004773AD"/>
    <w:rsid w:val="004E3080"/>
    <w:rsid w:val="0056107A"/>
    <w:rsid w:val="0058547E"/>
    <w:rsid w:val="005C55BB"/>
    <w:rsid w:val="0061459F"/>
    <w:rsid w:val="00614D15"/>
    <w:rsid w:val="0067018D"/>
    <w:rsid w:val="00706FDC"/>
    <w:rsid w:val="0071156D"/>
    <w:rsid w:val="00767CA1"/>
    <w:rsid w:val="00840F93"/>
    <w:rsid w:val="00876B3F"/>
    <w:rsid w:val="008A448A"/>
    <w:rsid w:val="008F386F"/>
    <w:rsid w:val="00977B29"/>
    <w:rsid w:val="009D429F"/>
    <w:rsid w:val="00A041A4"/>
    <w:rsid w:val="00A146DB"/>
    <w:rsid w:val="00A5358E"/>
    <w:rsid w:val="00A93AF0"/>
    <w:rsid w:val="00A956B4"/>
    <w:rsid w:val="00B255C3"/>
    <w:rsid w:val="00B30B4A"/>
    <w:rsid w:val="00B76474"/>
    <w:rsid w:val="00BB6D52"/>
    <w:rsid w:val="00C16A9C"/>
    <w:rsid w:val="00C2312E"/>
    <w:rsid w:val="00C26188"/>
    <w:rsid w:val="00C70CD2"/>
    <w:rsid w:val="00C82199"/>
    <w:rsid w:val="00CD17DD"/>
    <w:rsid w:val="00D33DD5"/>
    <w:rsid w:val="00D659BA"/>
    <w:rsid w:val="00D73438"/>
    <w:rsid w:val="00D946D1"/>
    <w:rsid w:val="00DB0A1A"/>
    <w:rsid w:val="00DE2F2D"/>
    <w:rsid w:val="00E2742C"/>
    <w:rsid w:val="00EA4B64"/>
    <w:rsid w:val="00F72ABD"/>
    <w:rsid w:val="00FB7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5EC8F"/>
  <w15:chartTrackingRefBased/>
  <w15:docId w15:val="{0A5685A1-5EEE-495E-B61B-4E2AA9F3E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4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4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4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4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4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4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4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4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4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4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4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4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4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4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474"/>
    <w:rPr>
      <w:rFonts w:eastAsiaTheme="majorEastAsia" w:cstheme="majorBidi"/>
      <w:color w:val="272727" w:themeColor="text1" w:themeTint="D8"/>
    </w:rPr>
  </w:style>
  <w:style w:type="paragraph" w:styleId="Title">
    <w:name w:val="Title"/>
    <w:basedOn w:val="Normal"/>
    <w:next w:val="Normal"/>
    <w:link w:val="TitleChar"/>
    <w:uiPriority w:val="10"/>
    <w:qFormat/>
    <w:rsid w:val="00B76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4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474"/>
    <w:pPr>
      <w:spacing w:before="160"/>
      <w:jc w:val="center"/>
    </w:pPr>
    <w:rPr>
      <w:i/>
      <w:iCs/>
      <w:color w:val="404040" w:themeColor="text1" w:themeTint="BF"/>
    </w:rPr>
  </w:style>
  <w:style w:type="character" w:customStyle="1" w:styleId="QuoteChar">
    <w:name w:val="Quote Char"/>
    <w:basedOn w:val="DefaultParagraphFont"/>
    <w:link w:val="Quote"/>
    <w:uiPriority w:val="29"/>
    <w:rsid w:val="00B76474"/>
    <w:rPr>
      <w:i/>
      <w:iCs/>
      <w:color w:val="404040" w:themeColor="text1" w:themeTint="BF"/>
    </w:rPr>
  </w:style>
  <w:style w:type="paragraph" w:styleId="ListParagraph">
    <w:name w:val="List Paragraph"/>
    <w:basedOn w:val="Normal"/>
    <w:uiPriority w:val="34"/>
    <w:qFormat/>
    <w:rsid w:val="00B76474"/>
    <w:pPr>
      <w:ind w:left="720"/>
      <w:contextualSpacing/>
    </w:pPr>
  </w:style>
  <w:style w:type="character" w:styleId="IntenseEmphasis">
    <w:name w:val="Intense Emphasis"/>
    <w:basedOn w:val="DefaultParagraphFont"/>
    <w:uiPriority w:val="21"/>
    <w:qFormat/>
    <w:rsid w:val="00B76474"/>
    <w:rPr>
      <w:i/>
      <w:iCs/>
      <w:color w:val="0F4761" w:themeColor="accent1" w:themeShade="BF"/>
    </w:rPr>
  </w:style>
  <w:style w:type="paragraph" w:styleId="IntenseQuote">
    <w:name w:val="Intense Quote"/>
    <w:basedOn w:val="Normal"/>
    <w:next w:val="Normal"/>
    <w:link w:val="IntenseQuoteChar"/>
    <w:uiPriority w:val="30"/>
    <w:qFormat/>
    <w:rsid w:val="00B76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474"/>
    <w:rPr>
      <w:i/>
      <w:iCs/>
      <w:color w:val="0F4761" w:themeColor="accent1" w:themeShade="BF"/>
    </w:rPr>
  </w:style>
  <w:style w:type="character" w:styleId="IntenseReference">
    <w:name w:val="Intense Reference"/>
    <w:basedOn w:val="DefaultParagraphFont"/>
    <w:uiPriority w:val="32"/>
    <w:qFormat/>
    <w:rsid w:val="00B76474"/>
    <w:rPr>
      <w:b/>
      <w:bCs/>
      <w:smallCaps/>
      <w:color w:val="0F4761" w:themeColor="accent1" w:themeShade="BF"/>
      <w:spacing w:val="5"/>
    </w:rPr>
  </w:style>
  <w:style w:type="paragraph" w:styleId="Header">
    <w:name w:val="header"/>
    <w:basedOn w:val="Normal"/>
    <w:link w:val="HeaderChar"/>
    <w:uiPriority w:val="99"/>
    <w:unhideWhenUsed/>
    <w:rsid w:val="00D73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438"/>
  </w:style>
  <w:style w:type="paragraph" w:styleId="Footer">
    <w:name w:val="footer"/>
    <w:basedOn w:val="Normal"/>
    <w:link w:val="FooterChar"/>
    <w:uiPriority w:val="99"/>
    <w:unhideWhenUsed/>
    <w:rsid w:val="00D73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438"/>
  </w:style>
  <w:style w:type="character" w:styleId="Hyperlink">
    <w:name w:val="Hyperlink"/>
    <w:basedOn w:val="DefaultParagraphFont"/>
    <w:uiPriority w:val="99"/>
    <w:unhideWhenUsed/>
    <w:rsid w:val="00D73438"/>
    <w:rPr>
      <w:color w:val="467886" w:themeColor="hyperlink"/>
      <w:u w:val="single"/>
    </w:rPr>
  </w:style>
  <w:style w:type="character" w:styleId="UnresolvedMention">
    <w:name w:val="Unresolved Mention"/>
    <w:basedOn w:val="DefaultParagraphFont"/>
    <w:uiPriority w:val="99"/>
    <w:semiHidden/>
    <w:unhideWhenUsed/>
    <w:rsid w:val="00D73438"/>
    <w:rPr>
      <w:color w:val="605E5C"/>
      <w:shd w:val="clear" w:color="auto" w:fill="E1DFDD"/>
    </w:rPr>
  </w:style>
  <w:style w:type="character" w:styleId="FollowedHyperlink">
    <w:name w:val="FollowedHyperlink"/>
    <w:basedOn w:val="DefaultParagraphFont"/>
    <w:uiPriority w:val="99"/>
    <w:semiHidden/>
    <w:unhideWhenUsed/>
    <w:rsid w:val="00D33DD5"/>
    <w:rPr>
      <w:color w:val="96607D" w:themeColor="followedHyperlink"/>
      <w:u w:val="single"/>
    </w:rPr>
  </w:style>
  <w:style w:type="character" w:styleId="CommentReference">
    <w:name w:val="annotation reference"/>
    <w:basedOn w:val="DefaultParagraphFont"/>
    <w:uiPriority w:val="99"/>
    <w:semiHidden/>
    <w:unhideWhenUsed/>
    <w:rsid w:val="00D946D1"/>
    <w:rPr>
      <w:sz w:val="16"/>
      <w:szCs w:val="16"/>
    </w:rPr>
  </w:style>
  <w:style w:type="paragraph" w:styleId="CommentText">
    <w:name w:val="annotation text"/>
    <w:basedOn w:val="Normal"/>
    <w:link w:val="CommentTextChar"/>
    <w:uiPriority w:val="99"/>
    <w:unhideWhenUsed/>
    <w:rsid w:val="00D946D1"/>
    <w:pPr>
      <w:spacing w:line="240" w:lineRule="auto"/>
    </w:pPr>
    <w:rPr>
      <w:sz w:val="20"/>
      <w:szCs w:val="20"/>
    </w:rPr>
  </w:style>
  <w:style w:type="character" w:customStyle="1" w:styleId="CommentTextChar">
    <w:name w:val="Comment Text Char"/>
    <w:basedOn w:val="DefaultParagraphFont"/>
    <w:link w:val="CommentText"/>
    <w:uiPriority w:val="99"/>
    <w:rsid w:val="00D946D1"/>
    <w:rPr>
      <w:sz w:val="20"/>
      <w:szCs w:val="20"/>
    </w:rPr>
  </w:style>
  <w:style w:type="paragraph" w:styleId="CommentSubject">
    <w:name w:val="annotation subject"/>
    <w:basedOn w:val="CommentText"/>
    <w:next w:val="CommentText"/>
    <w:link w:val="CommentSubjectChar"/>
    <w:uiPriority w:val="99"/>
    <w:semiHidden/>
    <w:unhideWhenUsed/>
    <w:rsid w:val="00D946D1"/>
    <w:rPr>
      <w:b/>
      <w:bCs/>
    </w:rPr>
  </w:style>
  <w:style w:type="character" w:customStyle="1" w:styleId="CommentSubjectChar">
    <w:name w:val="Comment Subject Char"/>
    <w:basedOn w:val="CommentTextChar"/>
    <w:link w:val="CommentSubject"/>
    <w:uiPriority w:val="99"/>
    <w:semiHidden/>
    <w:rsid w:val="00D946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961137">
      <w:bodyDiv w:val="1"/>
      <w:marLeft w:val="0"/>
      <w:marRight w:val="0"/>
      <w:marTop w:val="0"/>
      <w:marBottom w:val="0"/>
      <w:divBdr>
        <w:top w:val="none" w:sz="0" w:space="0" w:color="auto"/>
        <w:left w:val="none" w:sz="0" w:space="0" w:color="auto"/>
        <w:bottom w:val="none" w:sz="0" w:space="0" w:color="auto"/>
        <w:right w:val="none" w:sz="0" w:space="0" w:color="auto"/>
      </w:divBdr>
    </w:div>
    <w:div w:id="132253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bank.com/documents/7714906/7715332/Off-FarmIncome_Report_U-of-Missouri-Extension.pdf" TargetMode="External"/><Relationship Id="rId13" Type="http://schemas.openxmlformats.org/officeDocument/2006/relationships/hyperlink" Target="https://www.congress.gov/crs-product/IF12041" TargetMode="External"/><Relationship Id="rId18" Type="http://schemas.openxmlformats.org/officeDocument/2006/relationships/hyperlink" Target="https://www.sciencedirect.com/science/article/abs/pii/S0308596122000982?utm_source=chatgpt.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congress.gov/crs-product/R48278" TargetMode="External"/><Relationship Id="rId17" Type="http://schemas.openxmlformats.org/officeDocument/2006/relationships/hyperlink" Target="https://www.tandfonline.com/doi/full/10.1080/1331677X.2023.2186914?utm_source=chatgpt.com" TargetMode="External"/><Relationship Id="rId2" Type="http://schemas.openxmlformats.org/officeDocument/2006/relationships/styles" Target="styles.xml"/><Relationship Id="rId16" Type="http://schemas.openxmlformats.org/officeDocument/2006/relationships/hyperlink" Target="https://www.ers.usda.gov/data-products/chart-gallery/chart-detail?chartId=10800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merald.com/afr/article-abstract/80/4/453/59774/The-rural-urban-income-divide-among-farm?redirectedFrom=fulltext" TargetMode="External"/><Relationship Id="rId5" Type="http://schemas.openxmlformats.org/officeDocument/2006/relationships/footnotes" Target="footnotes.xml"/><Relationship Id="rId15" Type="http://schemas.openxmlformats.org/officeDocument/2006/relationships/hyperlink" Target="https://www.congress.gov/crs-product/R46235" TargetMode="External"/><Relationship Id="rId10" Type="http://schemas.openxmlformats.org/officeDocument/2006/relationships/hyperlink" Target="https://www.ers.usda.gov/publications/pub-details/?pubid=44463" TargetMode="External"/><Relationship Id="rId19" Type="http://schemas.openxmlformats.org/officeDocument/2006/relationships/hyperlink" Target="https://www.sciencedirect.com/science/article/pii/S0308596123000903" TargetMode="External"/><Relationship Id="rId4" Type="http://schemas.openxmlformats.org/officeDocument/2006/relationships/webSettings" Target="webSettings.xml"/><Relationship Id="rId9" Type="http://schemas.openxmlformats.org/officeDocument/2006/relationships/hyperlink" Target="https://www.ers.usda.gov/publications/pub-details/?pubid=110559" TargetMode="External"/><Relationship Id="rId14" Type="http://schemas.openxmlformats.org/officeDocument/2006/relationships/hyperlink" Target="https://www.ers.usda.gov/publications/pub-details/?pubid=46215&amp;utm_source=chatgp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1725</TotalTime>
  <Pages>4</Pages>
  <Words>1262</Words>
  <Characters>8500</Characters>
  <Application>Microsoft Office Word</Application>
  <DocSecurity>0</DocSecurity>
  <Lines>125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Chambers</dc:creator>
  <cp:keywords/>
  <dc:description/>
  <cp:lastModifiedBy>Kathryn Chambers</cp:lastModifiedBy>
  <cp:revision>6</cp:revision>
  <dcterms:created xsi:type="dcterms:W3CDTF">2025-10-06T17:26:00Z</dcterms:created>
  <dcterms:modified xsi:type="dcterms:W3CDTF">2025-10-07T22:10:00Z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d6fc77ca-9cd2-4e3a-9b80-cc46ca20518c</vt:lpwstr>
  </property>
</Properties>
</file>